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78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
        <w:gridCol w:w="3798"/>
        <w:gridCol w:w="660"/>
        <w:gridCol w:w="4538"/>
        <w:gridCol w:w="565"/>
      </w:tblGrid>
      <w:tr w:rsidR="00A44EB5" w:rsidRPr="007B2BAA" w:rsidTr="00A96DE0">
        <w:trPr>
          <w:trHeight w:val="1995"/>
        </w:trPr>
        <w:tc>
          <w:tcPr>
            <w:tcW w:w="4683" w:type="dxa"/>
            <w:gridSpan w:val="3"/>
            <w:hideMark/>
          </w:tcPr>
          <w:p w:rsidR="00A44EB5" w:rsidRDefault="00A44EB5" w:rsidP="00A96DE0">
            <w:pPr>
              <w:pStyle w:val="Vnbnnidung0"/>
              <w:spacing w:after="0"/>
              <w:ind w:firstLine="0"/>
              <w:jc w:val="center"/>
              <w:rPr>
                <w:rFonts w:ascii="Arial" w:hAnsi="Arial" w:cs="Arial"/>
                <w:sz w:val="20"/>
                <w:szCs w:val="20"/>
              </w:rPr>
            </w:pPr>
            <w:r w:rsidRPr="007B2BAA">
              <w:rPr>
                <w:rFonts w:ascii="Arial" w:hAnsi="Arial" w:cs="Arial"/>
                <w:sz w:val="20"/>
                <w:szCs w:val="20"/>
              </w:rPr>
              <w:t>TỔNG CỤC THUẾ</w:t>
            </w:r>
          </w:p>
          <w:p w:rsidR="00A44EB5" w:rsidRDefault="00A44EB5" w:rsidP="00A96DE0">
            <w:pPr>
              <w:pStyle w:val="Vnbnnidung0"/>
              <w:spacing w:after="0"/>
              <w:ind w:firstLine="0"/>
              <w:jc w:val="center"/>
              <w:rPr>
                <w:rFonts w:ascii="Arial" w:hAnsi="Arial" w:cs="Arial"/>
                <w:b/>
                <w:bCs/>
                <w:sz w:val="20"/>
                <w:szCs w:val="20"/>
              </w:rPr>
            </w:pPr>
            <w:r w:rsidRPr="007B2BAA">
              <w:rPr>
                <w:rFonts w:ascii="Arial" w:hAnsi="Arial" w:cs="Arial"/>
                <w:b/>
                <w:bCs/>
                <w:sz w:val="20"/>
                <w:szCs w:val="20"/>
              </w:rPr>
              <w:t>CỤC THUẾ TỈNH BẾN TRE</w:t>
            </w:r>
          </w:p>
          <w:p w:rsidR="00A44EB5" w:rsidRDefault="00A44EB5" w:rsidP="00A44EB5">
            <w:pPr>
              <w:pStyle w:val="Vnbnnidung0"/>
              <w:spacing w:after="0"/>
              <w:ind w:firstLine="0"/>
              <w:jc w:val="center"/>
              <w:rPr>
                <w:rFonts w:ascii="Arial" w:hAnsi="Arial" w:cs="Arial"/>
                <w:sz w:val="20"/>
                <w:szCs w:val="20"/>
              </w:rPr>
            </w:pPr>
            <w:r w:rsidRPr="00A44EB5">
              <w:rPr>
                <w:rFonts w:ascii="Arial" w:hAnsi="Arial" w:cs="Arial"/>
                <w:sz w:val="20"/>
                <w:szCs w:val="20"/>
              </w:rPr>
              <w:t>Số: 819 /CTBTR-TTHT</w:t>
            </w:r>
          </w:p>
          <w:p w:rsidR="00A44EB5" w:rsidRPr="00047FB8" w:rsidRDefault="00A44EB5" w:rsidP="00A44EB5">
            <w:pPr>
              <w:pStyle w:val="Vnbnnidung0"/>
              <w:spacing w:after="0"/>
              <w:ind w:firstLine="0"/>
              <w:jc w:val="center"/>
              <w:rPr>
                <w:rFonts w:ascii="Arial" w:hAnsi="Arial" w:cs="Arial"/>
                <w:sz w:val="20"/>
                <w:szCs w:val="20"/>
              </w:rPr>
            </w:pPr>
            <w:r w:rsidRPr="00A44EB5">
              <w:rPr>
                <w:rFonts w:ascii="Arial" w:hAnsi="Arial" w:cs="Arial"/>
                <w:sz w:val="20"/>
                <w:szCs w:val="20"/>
              </w:rPr>
              <w:t>V/v chính sách thuế</w:t>
            </w:r>
          </w:p>
        </w:tc>
        <w:tc>
          <w:tcPr>
            <w:tcW w:w="5103" w:type="dxa"/>
            <w:gridSpan w:val="2"/>
            <w:hideMark/>
          </w:tcPr>
          <w:p w:rsidR="00A44EB5" w:rsidRPr="006946E2" w:rsidRDefault="00A44EB5" w:rsidP="00A96DE0">
            <w:pPr>
              <w:pStyle w:val="Vnbnnidung0"/>
              <w:ind w:right="440" w:firstLine="284"/>
              <w:jc w:val="center"/>
              <w:rPr>
                <w:rFonts w:ascii="Arial" w:hAnsi="Arial" w:cs="Arial"/>
                <w:b/>
                <w:bCs/>
                <w:i/>
                <w:color w:val="auto"/>
                <w:sz w:val="20"/>
                <w:szCs w:val="20"/>
              </w:rPr>
            </w:pPr>
            <w:r w:rsidRPr="006946E2">
              <w:rPr>
                <w:rFonts w:ascii="Arial" w:hAnsi="Arial" w:cs="Arial"/>
                <w:b/>
                <w:bCs/>
                <w:color w:val="auto"/>
                <w:sz w:val="20"/>
                <w:szCs w:val="20"/>
              </w:rPr>
              <w:t>C</w:t>
            </w:r>
            <w:r w:rsidRPr="006946E2">
              <w:rPr>
                <w:rFonts w:ascii="Arial" w:hAnsi="Arial" w:cs="Arial"/>
                <w:b/>
                <w:bCs/>
                <w:color w:val="auto"/>
                <w:sz w:val="20"/>
                <w:szCs w:val="20"/>
                <w:lang w:val="en-US"/>
              </w:rPr>
              <w:t>Ộ</w:t>
            </w:r>
            <w:r w:rsidRPr="006946E2">
              <w:rPr>
                <w:rFonts w:ascii="Arial" w:hAnsi="Arial" w:cs="Arial"/>
                <w:b/>
                <w:bCs/>
                <w:color w:val="auto"/>
                <w:sz w:val="20"/>
                <w:szCs w:val="20"/>
              </w:rPr>
              <w:t>NG HOÀ XÃ HỘI CHỦ NGHĨA VIỆT NAM</w:t>
            </w:r>
          </w:p>
          <w:p w:rsidR="00A44EB5" w:rsidRPr="006946E2" w:rsidRDefault="00A44EB5" w:rsidP="00A96DE0">
            <w:pPr>
              <w:pStyle w:val="Vnbnnidung0"/>
              <w:ind w:right="440" w:firstLine="284"/>
              <w:jc w:val="center"/>
              <w:rPr>
                <w:rFonts w:ascii="Arial" w:hAnsi="Arial" w:cs="Arial"/>
                <w:b/>
                <w:bCs/>
                <w:i/>
                <w:color w:val="auto"/>
                <w:sz w:val="20"/>
                <w:szCs w:val="20"/>
              </w:rPr>
            </w:pPr>
            <w:r w:rsidRPr="006946E2">
              <w:rPr>
                <w:rFonts w:ascii="Arial" w:hAnsi="Arial" w:cs="Arial"/>
                <w:b/>
                <w:bCs/>
                <w:color w:val="auto"/>
                <w:sz w:val="20"/>
                <w:szCs w:val="20"/>
              </w:rPr>
              <w:t>Độc lập - Tự do - Hạnh phúc</w:t>
            </w:r>
          </w:p>
          <w:p w:rsidR="00A44EB5" w:rsidRPr="007B2BAA" w:rsidRDefault="00A44EB5" w:rsidP="00A44EB5">
            <w:pPr>
              <w:pStyle w:val="Vnbnnidung0"/>
              <w:spacing w:after="960"/>
              <w:ind w:right="400" w:firstLine="0"/>
              <w:jc w:val="right"/>
              <w:rPr>
                <w:rFonts w:ascii="Arial" w:hAnsi="Arial" w:cs="Arial"/>
                <w:i/>
                <w:color w:val="auto"/>
                <w:sz w:val="20"/>
                <w:szCs w:val="20"/>
              </w:rPr>
            </w:pPr>
            <w:r>
              <w:rPr>
                <w:rFonts w:ascii="Arial" w:hAnsi="Arial" w:cs="Arial"/>
                <w:i/>
                <w:sz w:val="20"/>
                <w:szCs w:val="20"/>
              </w:rPr>
              <w:t>Bến Tre, ngày 07</w:t>
            </w:r>
            <w:r w:rsidRPr="007B2BAA">
              <w:rPr>
                <w:rFonts w:ascii="Arial" w:hAnsi="Arial" w:cs="Arial"/>
                <w:i/>
                <w:sz w:val="20"/>
                <w:szCs w:val="20"/>
              </w:rPr>
              <w:t xml:space="preserve"> tháng 3 năm 2025</w:t>
            </w:r>
          </w:p>
        </w:tc>
      </w:tr>
      <w:tr w:rsidR="00A44EB5" w:rsidRPr="001C31C1" w:rsidTr="00A96DE0">
        <w:trPr>
          <w:gridBefore w:val="1"/>
          <w:gridAfter w:val="1"/>
          <w:wBefore w:w="225" w:type="dxa"/>
          <w:wAfter w:w="565" w:type="dxa"/>
        </w:trPr>
        <w:tc>
          <w:tcPr>
            <w:tcW w:w="3798" w:type="dxa"/>
          </w:tcPr>
          <w:p w:rsidR="00A44EB5" w:rsidRPr="001C31C1" w:rsidRDefault="00A44EB5" w:rsidP="00A96DE0">
            <w:pPr>
              <w:pStyle w:val="Vnbnnidung0"/>
              <w:spacing w:after="120"/>
              <w:ind w:firstLine="284"/>
              <w:jc w:val="center"/>
              <w:rPr>
                <w:rFonts w:ascii="Arial" w:hAnsi="Arial" w:cs="Arial"/>
                <w:i/>
                <w:iCs/>
                <w:color w:val="auto"/>
                <w:sz w:val="20"/>
                <w:szCs w:val="20"/>
              </w:rPr>
            </w:pPr>
            <w:r w:rsidRPr="001C31C1">
              <w:rPr>
                <w:rFonts w:ascii="Arial" w:hAnsi="Arial" w:cs="Arial"/>
                <w:color w:val="auto"/>
                <w:sz w:val="20"/>
                <w:szCs w:val="20"/>
              </w:rPr>
              <w:t>Kính gửi:</w:t>
            </w:r>
          </w:p>
        </w:tc>
        <w:tc>
          <w:tcPr>
            <w:tcW w:w="5198" w:type="dxa"/>
            <w:gridSpan w:val="2"/>
          </w:tcPr>
          <w:p w:rsidR="00A44EB5" w:rsidRPr="00A44EB5" w:rsidRDefault="00A44EB5" w:rsidP="00A44EB5">
            <w:pPr>
              <w:pStyle w:val="Vnbnnidung0"/>
              <w:spacing w:after="0"/>
              <w:ind w:firstLine="0"/>
              <w:rPr>
                <w:rFonts w:ascii="Arial" w:hAnsi="Arial" w:cs="Arial"/>
                <w:sz w:val="20"/>
                <w:szCs w:val="20"/>
              </w:rPr>
            </w:pPr>
            <w:r w:rsidRPr="00A44EB5">
              <w:rPr>
                <w:rFonts w:ascii="Arial" w:hAnsi="Arial" w:cs="Arial"/>
                <w:sz w:val="20"/>
                <w:szCs w:val="20"/>
              </w:rPr>
              <w:t>Công ty TNHH Kỹ Thuật Dừa</w:t>
            </w:r>
          </w:p>
          <w:p w:rsidR="00A44EB5" w:rsidRPr="001C31C1" w:rsidRDefault="00A44EB5" w:rsidP="00A44EB5">
            <w:pPr>
              <w:rPr>
                <w:rFonts w:ascii="Arial" w:hAnsi="Arial" w:cs="Arial"/>
                <w:iCs/>
                <w:color w:val="auto"/>
                <w:sz w:val="20"/>
                <w:szCs w:val="20"/>
              </w:rPr>
            </w:pPr>
            <w:r w:rsidRPr="00A44EB5">
              <w:rPr>
                <w:rFonts w:ascii="Arial" w:hAnsi="Arial" w:cs="Arial"/>
                <w:sz w:val="20"/>
                <w:szCs w:val="20"/>
              </w:rPr>
              <w:t>Địa chỉ: Ấp Nghĩa Huấn (thửa đất số 365; tờ bản đồ số 5), xã Mỹ Thạnh An, huyện Giồng Trôm, tỉnh Bến Tre.</w:t>
            </w:r>
          </w:p>
        </w:tc>
      </w:tr>
    </w:tbl>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Cục Th</w:t>
      </w:r>
      <w:bookmarkStart w:id="0" w:name="_GoBack"/>
      <w:r w:rsidRPr="00A44EB5">
        <w:rPr>
          <w:rFonts w:ascii="Arial" w:hAnsi="Arial" w:cs="Arial"/>
          <w:sz w:val="20"/>
          <w:szCs w:val="20"/>
        </w:rPr>
        <w:t>uế tỉnh Bến Tre có nhận được Công văn số 104/2025/CV-KTD ngày 27 tháng 02 năm 2025 của Công ty TNHH Kỹ Thuật Dừa về việc giải đáp vướng mắc về thuế suất thuế GTGT.</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Cục Thuế tỉnh Bến Tre có ý k</w:t>
      </w:r>
      <w:r w:rsidRPr="00A44EB5">
        <w:rPr>
          <w:rFonts w:ascii="Arial" w:hAnsi="Arial" w:cs="Arial"/>
          <w:sz w:val="20"/>
          <w:szCs w:val="20"/>
        </w:rPr>
        <w:t>iến như sau:</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Tại Khoản 1, Điều 1 Thông tư số 26/2015/TT-BTC, ngày 27/02/2015 của Bộ Tài chính, quy định:</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b/>
          <w:bCs/>
          <w:i/>
          <w:iCs/>
          <w:sz w:val="20"/>
          <w:szCs w:val="20"/>
        </w:rPr>
        <w:t>“...Điều 1. Sửa đổi, bổ sung một sổ điều của Thông tư số 219/2013/TT- BTC ngày 31/12/2013 của Bộ Tài chính hướng dẫn thi hành Luật Thuế giá trị gia tăn</w:t>
      </w:r>
      <w:r w:rsidRPr="00A44EB5">
        <w:rPr>
          <w:rFonts w:ascii="Arial" w:hAnsi="Arial" w:cs="Arial"/>
          <w:b/>
          <w:bCs/>
          <w:i/>
          <w:iCs/>
          <w:sz w:val="20"/>
          <w:szCs w:val="20"/>
        </w:rPr>
        <w:t>g và Nghị định số 209/2013/NĐ-CP ngày 18/12/2013 của Chính phủ quy định chi tiết và hướng dẫn thi hành một số điều Luật Thuế giá trị gia tăng (đã được sửa đổi, bổ sung theo Thông tư số 119/2014/TT-BTC ngày 25/8/2014 và Thông tư số 151/2014/TT-BTC ngày 10/1</w:t>
      </w:r>
      <w:r w:rsidRPr="00A44EB5">
        <w:rPr>
          <w:rFonts w:ascii="Arial" w:hAnsi="Arial" w:cs="Arial"/>
          <w:b/>
          <w:bCs/>
          <w:i/>
          <w:iCs/>
          <w:sz w:val="20"/>
          <w:szCs w:val="20"/>
        </w:rPr>
        <w:t>0/2014 của Bộ Tài chính) như sau:</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b/>
          <w:bCs/>
          <w:i/>
          <w:iCs/>
          <w:sz w:val="20"/>
          <w:szCs w:val="20"/>
        </w:rPr>
        <w:t>1. Sửa đổi khoản 1 Điều 4 như sau:</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i/>
          <w:iCs/>
          <w:sz w:val="20"/>
          <w:szCs w:val="20"/>
        </w:rPr>
        <w:t xml:space="preserve">“1. Sản phẩm trồng trọt (bao gồm cả sản phẩm rừng trồng), chăn nuôi, thủy sản, hải sản nuôi trồng, đánh bắt chưa chế biến thành các sản phẩm khác hoặc chỉ qua sơ chế thông thường của tổ </w:t>
      </w:r>
      <w:r w:rsidRPr="00A44EB5">
        <w:rPr>
          <w:rFonts w:ascii="Arial" w:hAnsi="Arial" w:cs="Arial"/>
          <w:i/>
          <w:iCs/>
          <w:sz w:val="20"/>
          <w:szCs w:val="20"/>
        </w:rPr>
        <w:t>chức, cá nhân tự sản xuất, đánh bắt bán ra và ở khâu nhập khẩu.</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b/>
          <w:bCs/>
          <w:i/>
          <w:iCs/>
          <w:sz w:val="20"/>
          <w:szCs w:val="20"/>
        </w:rPr>
        <w:t xml:space="preserve">Các sản phẩm mới qua sơ chế thông thường </w:t>
      </w:r>
      <w:r w:rsidRPr="00A44EB5">
        <w:rPr>
          <w:rFonts w:ascii="Arial" w:hAnsi="Arial" w:cs="Arial"/>
          <w:i/>
          <w:iCs/>
          <w:sz w:val="20"/>
          <w:szCs w:val="20"/>
        </w:rPr>
        <w:t>là sản phẩm mới được làm sạch, phơi, sấy khô, bóc vỏ, xay, xay bỏ vỏ, xát bỏ vỏ, tách hạt, tách cọng, cắt, ướp muối, bảo quản lạnh (ướp lạnh, đông lạnh</w:t>
      </w:r>
      <w:r w:rsidRPr="00A44EB5">
        <w:rPr>
          <w:rFonts w:ascii="Arial" w:hAnsi="Arial" w:cs="Arial"/>
          <w:i/>
          <w:iCs/>
          <w:sz w:val="20"/>
          <w:szCs w:val="20"/>
        </w:rPr>
        <w:t>), bảo quản bằng khí sunfuro, bảo quản theo phương thức cho hóa chất để tránh thối rữa, ngâm trong dung dịch lưu huỳnh hoặc ngâm trong dung dịch bảo quản khác và các hình thức bảo quản thông thường khác...'’”.</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Tại Khoản 5, Điều 5 Thông tư số 219/2013/TT-BT</w:t>
      </w:r>
      <w:r w:rsidRPr="00A44EB5">
        <w:rPr>
          <w:rFonts w:ascii="Arial" w:hAnsi="Arial" w:cs="Arial"/>
          <w:sz w:val="20"/>
          <w:szCs w:val="20"/>
        </w:rPr>
        <w:t>C ngày 31/12/2013 của Bộ Tài chính hướng dẫn thi hành Luật Thuế giá trị gia tăng và Nghị định số 209/2013/NĐ-CP ngày 18/12/2013 của Chính phủ quy định chi tiết và hướng dẫn thi hành một số điều Luật Thuế giá trị gia tăng, quy định:</w:t>
      </w:r>
    </w:p>
    <w:p w:rsidR="00DF4BD8" w:rsidRPr="00A44EB5" w:rsidRDefault="00A44EB5" w:rsidP="00A44EB5">
      <w:pPr>
        <w:pStyle w:val="Vnbnnidung0"/>
        <w:spacing w:after="120"/>
        <w:ind w:firstLine="284"/>
        <w:rPr>
          <w:rFonts w:ascii="Arial" w:hAnsi="Arial" w:cs="Arial"/>
          <w:sz w:val="20"/>
          <w:szCs w:val="20"/>
        </w:rPr>
      </w:pPr>
      <w:r>
        <w:rPr>
          <w:rFonts w:ascii="Arial" w:hAnsi="Arial" w:cs="Arial"/>
          <w:b/>
          <w:bCs/>
          <w:i/>
          <w:iCs/>
          <w:sz w:val="20"/>
          <w:szCs w:val="20"/>
          <w:lang w:val="en-US"/>
        </w:rPr>
        <w:t>“..</w:t>
      </w:r>
      <w:r w:rsidR="00A86461" w:rsidRPr="00A44EB5">
        <w:rPr>
          <w:rFonts w:ascii="Arial" w:hAnsi="Arial" w:cs="Arial"/>
          <w:b/>
          <w:bCs/>
          <w:i/>
          <w:iCs/>
          <w:sz w:val="20"/>
          <w:szCs w:val="20"/>
        </w:rPr>
        <w:t>. Điều 5. Các trường hợp</w:t>
      </w:r>
      <w:r w:rsidR="00A86461" w:rsidRPr="00A44EB5">
        <w:rPr>
          <w:rFonts w:ascii="Arial" w:hAnsi="Arial" w:cs="Arial"/>
          <w:b/>
          <w:bCs/>
          <w:i/>
          <w:iCs/>
          <w:sz w:val="20"/>
          <w:szCs w:val="20"/>
        </w:rPr>
        <w:t xml:space="preserve"> không phải kê khai, tính nộp thuế GTGT</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i/>
          <w:iCs/>
          <w:sz w:val="20"/>
          <w:szCs w:val="20"/>
        </w:rPr>
        <w:t xml:space="preserve">5. Doanh nghiệp, hợp tác xã nộp thuế GTGT theo phương pháp khấu trừ bán sản phẩm trồng trọt, chăn nuôi, thủy sản, hải sản </w:t>
      </w:r>
      <w:r w:rsidRPr="00A44EB5">
        <w:rPr>
          <w:rFonts w:ascii="Arial" w:hAnsi="Arial" w:cs="Arial"/>
          <w:b/>
          <w:bCs/>
          <w:i/>
          <w:iCs/>
          <w:sz w:val="20"/>
          <w:szCs w:val="20"/>
        </w:rPr>
        <w:t>chưa chế biến thành các</w:t>
      </w:r>
      <w:r w:rsidR="00A44EB5">
        <w:rPr>
          <w:rFonts w:ascii="Arial" w:hAnsi="Arial" w:cs="Arial"/>
          <w:b/>
          <w:bCs/>
          <w:i/>
          <w:iCs/>
          <w:sz w:val="20"/>
          <w:szCs w:val="20"/>
          <w:lang w:val="en-US"/>
        </w:rPr>
        <w:t xml:space="preserve"> </w:t>
      </w:r>
      <w:r w:rsidRPr="00A44EB5">
        <w:rPr>
          <w:rFonts w:ascii="Arial" w:hAnsi="Arial" w:cs="Arial"/>
          <w:b/>
          <w:bCs/>
          <w:i/>
          <w:iCs/>
          <w:sz w:val="20"/>
          <w:szCs w:val="20"/>
        </w:rPr>
        <w:t xml:space="preserve">sản phẩm khác hoặc chỉ qua sơ chế thông thường </w:t>
      </w:r>
      <w:r w:rsidRPr="00A44EB5">
        <w:rPr>
          <w:rFonts w:ascii="Arial" w:hAnsi="Arial" w:cs="Arial"/>
          <w:i/>
          <w:iCs/>
          <w:sz w:val="20"/>
          <w:szCs w:val="20"/>
        </w:rPr>
        <w:t>cho doanh nghiệp, hợp t</w:t>
      </w:r>
      <w:r w:rsidRPr="00A44EB5">
        <w:rPr>
          <w:rFonts w:ascii="Arial" w:hAnsi="Arial" w:cs="Arial"/>
          <w:i/>
          <w:iCs/>
          <w:sz w:val="20"/>
          <w:szCs w:val="20"/>
        </w:rPr>
        <w:t>ác xã ở khâu kinh doanh thương mại không phải kê khai, tính nộp thuế GTGT. Trên hóa đơn GTGT, ghi dòng giá bán là giá không có thuế GTGT, dòng thuế suất và thuế GTGT không ghi, gạch bỏ...”</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 xml:space="preserve">Tại Điều 11 Thông tư số 219/2013/TT-BTC ngày 31/12/2013 của Bộ Tài </w:t>
      </w:r>
      <w:r w:rsidRPr="00A44EB5">
        <w:rPr>
          <w:rFonts w:ascii="Arial" w:hAnsi="Arial" w:cs="Arial"/>
          <w:sz w:val="20"/>
          <w:szCs w:val="20"/>
        </w:rPr>
        <w:t>chính về việc Hướng dẫn thi hành Luật Thuế giá trị gia tăng và Nghị định số 209/2013/NĐ-CP ngày 18/12/2013 của Chính phủ quy định chi tiết và hướng dẫn thi hành một số điều Luật Thuế giá trị gia tăng, quy định:</w:t>
      </w:r>
    </w:p>
    <w:p w:rsidR="00DF4BD8" w:rsidRPr="00A44EB5" w:rsidRDefault="00A44EB5" w:rsidP="00A44EB5">
      <w:pPr>
        <w:pStyle w:val="Vnbnnidung0"/>
        <w:spacing w:after="120"/>
        <w:ind w:firstLine="284"/>
        <w:rPr>
          <w:rFonts w:ascii="Arial" w:hAnsi="Arial" w:cs="Arial"/>
          <w:sz w:val="20"/>
          <w:szCs w:val="20"/>
        </w:rPr>
      </w:pPr>
      <w:r>
        <w:rPr>
          <w:rFonts w:ascii="Arial" w:hAnsi="Arial" w:cs="Arial"/>
          <w:b/>
          <w:bCs/>
          <w:i/>
          <w:iCs/>
          <w:sz w:val="20"/>
          <w:szCs w:val="20"/>
          <w:lang w:val="en-US"/>
        </w:rPr>
        <w:t>“…</w:t>
      </w:r>
      <w:r w:rsidR="00A86461" w:rsidRPr="00A44EB5">
        <w:rPr>
          <w:rFonts w:ascii="Arial" w:hAnsi="Arial" w:cs="Arial"/>
          <w:b/>
          <w:bCs/>
          <w:i/>
          <w:iCs/>
          <w:sz w:val="20"/>
          <w:szCs w:val="20"/>
        </w:rPr>
        <w:t>Điều 11. Thuế suất 10%</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i/>
          <w:iCs/>
          <w:sz w:val="20"/>
          <w:szCs w:val="20"/>
        </w:rPr>
        <w:t xml:space="preserve">Thuế suất 10% áp dụng </w:t>
      </w:r>
      <w:r w:rsidRPr="00A44EB5">
        <w:rPr>
          <w:rFonts w:ascii="Arial" w:hAnsi="Arial" w:cs="Arial"/>
          <w:i/>
          <w:iCs/>
          <w:sz w:val="20"/>
          <w:szCs w:val="20"/>
        </w:rPr>
        <w:t>đối với hàng hoá, dịch vụ không được quy định tại Điều 4, Điều 9 và Điều 10 Thông tư này.</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i/>
          <w:iCs/>
          <w:sz w:val="20"/>
          <w:szCs w:val="20"/>
        </w:rPr>
        <w:t>Các mức thuế suất thuế GTGT nêu tại Điều 10, Điều 11 được áp dụng thống nhất cho từng loại hàng hóa, dịch vụ ở các khâu nhập khẩu, sản xuất, gia công hay kinh doanh t</w:t>
      </w:r>
      <w:r w:rsidRPr="00A44EB5">
        <w:rPr>
          <w:rFonts w:ascii="Arial" w:hAnsi="Arial" w:cs="Arial"/>
          <w:i/>
          <w:iCs/>
          <w:sz w:val="20"/>
          <w:szCs w:val="20"/>
        </w:rPr>
        <w:t>hương mại.”.</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 xml:space="preserve">Căn cứ các quy định trên, theo trình bày của Công ty TNHH Kỹ Thuật Dừa nộp thuế GTGT theo phương pháp khấu trừ có mua xác dừa về sấy khô, </w:t>
      </w:r>
      <w:r w:rsidRPr="00A44EB5">
        <w:rPr>
          <w:rFonts w:ascii="Arial" w:hAnsi="Arial" w:cs="Arial"/>
          <w:b/>
          <w:bCs/>
          <w:sz w:val="20"/>
          <w:szCs w:val="20"/>
        </w:rPr>
        <w:t xml:space="preserve">thành phẩm </w:t>
      </w:r>
      <w:r w:rsidRPr="00A44EB5">
        <w:rPr>
          <w:rFonts w:ascii="Arial" w:hAnsi="Arial" w:cs="Arial"/>
          <w:sz w:val="20"/>
          <w:szCs w:val="20"/>
        </w:rPr>
        <w:t xml:space="preserve">cuối cùng là </w:t>
      </w:r>
      <w:r w:rsidRPr="00A44EB5">
        <w:rPr>
          <w:rFonts w:ascii="Arial" w:hAnsi="Arial" w:cs="Arial"/>
          <w:b/>
          <w:bCs/>
          <w:sz w:val="20"/>
          <w:szCs w:val="20"/>
        </w:rPr>
        <w:t xml:space="preserve">“Cơm dừa nạo sấy” </w:t>
      </w:r>
      <w:r w:rsidRPr="00A44EB5">
        <w:rPr>
          <w:rFonts w:ascii="Arial" w:hAnsi="Arial" w:cs="Arial"/>
          <w:sz w:val="20"/>
          <w:szCs w:val="20"/>
        </w:rPr>
        <w:t>bán nội địa (khâu kinh doanh thương mại) thì thực hiện theo quy</w:t>
      </w:r>
      <w:r w:rsidRPr="00A44EB5">
        <w:rPr>
          <w:rFonts w:ascii="Arial" w:hAnsi="Arial" w:cs="Arial"/>
          <w:sz w:val="20"/>
          <w:szCs w:val="20"/>
        </w:rPr>
        <w:t xml:space="preserve"> định tại Điều 11 Thông tư số 219/2013/TT- BTC nêu trên.</w:t>
      </w:r>
    </w:p>
    <w:p w:rsidR="00DF4BD8" w:rsidRPr="00A44EB5"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Đề nghị Công ty TNHH Kỹ Thuật Dừa nghiên cứu các quy định pháp luật thuế, các quy định có liên quan và căn cứ thực tế phát sinh tại đơn vị để thực hiện đúng quy định.</w:t>
      </w:r>
    </w:p>
    <w:p w:rsidR="00DF4BD8" w:rsidRDefault="00A86461" w:rsidP="00A44EB5">
      <w:pPr>
        <w:pStyle w:val="Vnbnnidung0"/>
        <w:spacing w:after="120"/>
        <w:ind w:firstLine="284"/>
        <w:rPr>
          <w:rFonts w:ascii="Arial" w:hAnsi="Arial" w:cs="Arial"/>
          <w:sz w:val="20"/>
          <w:szCs w:val="20"/>
        </w:rPr>
      </w:pPr>
      <w:r w:rsidRPr="00A44EB5">
        <w:rPr>
          <w:rFonts w:ascii="Arial" w:hAnsi="Arial" w:cs="Arial"/>
          <w:sz w:val="20"/>
          <w:szCs w:val="20"/>
        </w:rPr>
        <w:t xml:space="preserve">Cục Thuế tỉnh Bến Tre thông báo </w:t>
      </w:r>
      <w:r w:rsidRPr="00A44EB5">
        <w:rPr>
          <w:rFonts w:ascii="Arial" w:hAnsi="Arial" w:cs="Arial"/>
          <w:sz w:val="20"/>
          <w:szCs w:val="20"/>
        </w:rPr>
        <w:t xml:space="preserve">đến Công ty TNHH Kỹ Thuật Dừa biết và thực hiện theo đúng quy định tại các văn bản quy phạm pháp luật đã được </w:t>
      </w:r>
      <w:r w:rsidR="00A44EB5">
        <w:rPr>
          <w:rFonts w:ascii="Arial" w:hAnsi="Arial" w:cs="Arial"/>
          <w:sz w:val="20"/>
          <w:szCs w:val="20"/>
        </w:rPr>
        <w:t xml:space="preserve">trích dẫn </w:t>
      </w:r>
      <w:bookmarkEnd w:id="0"/>
      <w:r w:rsidR="00A44EB5">
        <w:rPr>
          <w:rFonts w:ascii="Arial" w:hAnsi="Arial" w:cs="Arial"/>
          <w:sz w:val="20"/>
          <w:szCs w:val="20"/>
        </w:rPr>
        <w:t>tại văn bản này./.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8"/>
        <w:gridCol w:w="4580"/>
      </w:tblGrid>
      <w:tr w:rsidR="00A44EB5" w:rsidRPr="001C31C1" w:rsidTr="00A96DE0">
        <w:tc>
          <w:tcPr>
            <w:tcW w:w="4583" w:type="dxa"/>
          </w:tcPr>
          <w:p w:rsidR="00A44EB5" w:rsidRPr="007B2BAA" w:rsidRDefault="00A44EB5" w:rsidP="00A96DE0">
            <w:pPr>
              <w:pStyle w:val="Vnbnnidung0"/>
              <w:tabs>
                <w:tab w:val="left" w:pos="6091"/>
              </w:tabs>
              <w:ind w:firstLine="0"/>
              <w:rPr>
                <w:rFonts w:ascii="Arial" w:hAnsi="Arial" w:cs="Arial"/>
                <w:b/>
                <w:bCs/>
                <w:i/>
                <w:color w:val="auto"/>
                <w:sz w:val="20"/>
                <w:szCs w:val="20"/>
              </w:rPr>
            </w:pPr>
            <w:r w:rsidRPr="007B2BAA">
              <w:rPr>
                <w:rFonts w:ascii="Arial" w:hAnsi="Arial" w:cs="Arial"/>
                <w:b/>
                <w:bCs/>
                <w:i/>
                <w:color w:val="auto"/>
                <w:sz w:val="20"/>
                <w:szCs w:val="20"/>
              </w:rPr>
              <w:lastRenderedPageBreak/>
              <w:t>Nơi nhận:</w:t>
            </w:r>
          </w:p>
          <w:p w:rsidR="00A44EB5" w:rsidRPr="00A44EB5" w:rsidRDefault="00A44EB5" w:rsidP="00A44EB5">
            <w:pPr>
              <w:pStyle w:val="Vnbnnidung20"/>
              <w:tabs>
                <w:tab w:val="left" w:pos="258"/>
              </w:tabs>
              <w:rPr>
                <w:rFonts w:ascii="Arial" w:hAnsi="Arial" w:cs="Arial"/>
                <w:sz w:val="20"/>
                <w:szCs w:val="20"/>
              </w:rPr>
            </w:pPr>
            <w:r>
              <w:rPr>
                <w:rFonts w:ascii="Arial" w:hAnsi="Arial" w:cs="Arial"/>
                <w:sz w:val="20"/>
                <w:szCs w:val="20"/>
                <w:lang w:val="en-US"/>
              </w:rPr>
              <w:t xml:space="preserve">- </w:t>
            </w:r>
            <w:r w:rsidRPr="00A44EB5">
              <w:rPr>
                <w:rFonts w:ascii="Arial" w:hAnsi="Arial" w:cs="Arial"/>
                <w:sz w:val="20"/>
                <w:szCs w:val="20"/>
              </w:rPr>
              <w:t>Như trên;</w:t>
            </w:r>
          </w:p>
          <w:p w:rsidR="00A44EB5" w:rsidRPr="00A44EB5" w:rsidRDefault="00A44EB5" w:rsidP="00A44EB5">
            <w:pPr>
              <w:pStyle w:val="Vnbnnidung20"/>
              <w:tabs>
                <w:tab w:val="left" w:pos="258"/>
              </w:tabs>
              <w:rPr>
                <w:rFonts w:ascii="Arial" w:hAnsi="Arial" w:cs="Arial"/>
                <w:sz w:val="20"/>
                <w:szCs w:val="20"/>
              </w:rPr>
            </w:pPr>
            <w:bookmarkStart w:id="1" w:name="bookmark1"/>
            <w:bookmarkEnd w:id="1"/>
            <w:r>
              <w:rPr>
                <w:rFonts w:ascii="Arial" w:hAnsi="Arial" w:cs="Arial"/>
                <w:sz w:val="20"/>
                <w:szCs w:val="20"/>
                <w:lang w:val="en-US"/>
              </w:rPr>
              <w:t xml:space="preserve">- </w:t>
            </w:r>
            <w:r w:rsidRPr="00A44EB5">
              <w:rPr>
                <w:rFonts w:ascii="Arial" w:hAnsi="Arial" w:cs="Arial"/>
                <w:sz w:val="20"/>
                <w:szCs w:val="20"/>
              </w:rPr>
              <w:t>Website Cục Thuế;</w:t>
            </w:r>
          </w:p>
          <w:p w:rsidR="00A44EB5" w:rsidRPr="00A44EB5" w:rsidRDefault="00A44EB5" w:rsidP="00A44EB5">
            <w:pPr>
              <w:pStyle w:val="Vnbnnidung20"/>
              <w:tabs>
                <w:tab w:val="left" w:pos="258"/>
              </w:tabs>
              <w:spacing w:line="230" w:lineRule="auto"/>
              <w:rPr>
                <w:rFonts w:ascii="Arial" w:hAnsi="Arial" w:cs="Arial"/>
                <w:sz w:val="20"/>
                <w:szCs w:val="20"/>
              </w:rPr>
            </w:pPr>
            <w:bookmarkStart w:id="2" w:name="bookmark2"/>
            <w:bookmarkEnd w:id="2"/>
            <w:r>
              <w:rPr>
                <w:rFonts w:ascii="Arial" w:hAnsi="Arial" w:cs="Arial"/>
                <w:sz w:val="20"/>
                <w:szCs w:val="20"/>
                <w:lang w:val="en-US"/>
              </w:rPr>
              <w:t xml:space="preserve">- </w:t>
            </w:r>
            <w:r w:rsidRPr="00A44EB5">
              <w:rPr>
                <w:rFonts w:ascii="Arial" w:hAnsi="Arial" w:cs="Arial"/>
                <w:sz w:val="20"/>
                <w:szCs w:val="20"/>
              </w:rPr>
              <w:t>Phòng NV-DT-PC (để biết);</w:t>
            </w:r>
          </w:p>
          <w:p w:rsidR="00A44EB5" w:rsidRPr="00C10F7B" w:rsidRDefault="00A44EB5" w:rsidP="00A44EB5">
            <w:pPr>
              <w:pStyle w:val="Vnbnnidung20"/>
              <w:tabs>
                <w:tab w:val="left" w:pos="258"/>
              </w:tabs>
              <w:spacing w:after="80"/>
              <w:rPr>
                <w:rFonts w:ascii="Arial" w:hAnsi="Arial" w:cs="Arial"/>
                <w:sz w:val="20"/>
                <w:szCs w:val="20"/>
              </w:rPr>
            </w:pPr>
            <w:bookmarkStart w:id="3" w:name="bookmark3"/>
            <w:bookmarkEnd w:id="3"/>
            <w:r>
              <w:rPr>
                <w:rFonts w:ascii="Arial" w:hAnsi="Arial" w:cs="Arial"/>
                <w:sz w:val="20"/>
                <w:szCs w:val="20"/>
                <w:lang w:val="en-US"/>
              </w:rPr>
              <w:t xml:space="preserve">- </w:t>
            </w:r>
            <w:r w:rsidRPr="00A44EB5">
              <w:rPr>
                <w:rFonts w:ascii="Arial" w:hAnsi="Arial" w:cs="Arial"/>
                <w:sz w:val="20"/>
                <w:szCs w:val="20"/>
              </w:rPr>
              <w:t>Lưu: VT, TTHT. th</w:t>
            </w:r>
            <w:r w:rsidRPr="00A44EB5">
              <w:rPr>
                <w:rFonts w:ascii="Arial" w:hAnsi="Arial" w:cs="Arial"/>
                <w:sz w:val="20"/>
                <w:szCs w:val="20"/>
                <w:vertAlign w:val="superscript"/>
              </w:rPr>
              <w:t>(4)</w:t>
            </w:r>
          </w:p>
        </w:tc>
        <w:tc>
          <w:tcPr>
            <w:tcW w:w="4584" w:type="dxa"/>
          </w:tcPr>
          <w:p w:rsidR="00A44EB5" w:rsidRPr="006946E2" w:rsidRDefault="00A44EB5" w:rsidP="00A96DE0">
            <w:pPr>
              <w:pStyle w:val="Vnbnnidung0"/>
              <w:tabs>
                <w:tab w:val="left" w:pos="4030"/>
                <w:tab w:val="left" w:leader="dot" w:pos="4198"/>
              </w:tabs>
              <w:ind w:left="360" w:firstLine="0"/>
              <w:jc w:val="center"/>
              <w:rPr>
                <w:rFonts w:ascii="Arial" w:hAnsi="Arial" w:cs="Arial"/>
                <w:b/>
                <w:i/>
                <w:color w:val="auto"/>
                <w:sz w:val="20"/>
                <w:szCs w:val="20"/>
              </w:rPr>
            </w:pPr>
            <w:r w:rsidRPr="006946E2">
              <w:rPr>
                <w:rFonts w:ascii="Arial" w:hAnsi="Arial" w:cs="Arial"/>
                <w:b/>
                <w:color w:val="auto"/>
                <w:sz w:val="20"/>
                <w:szCs w:val="20"/>
                <w:lang w:val="en-US"/>
              </w:rPr>
              <w:t>KT. C</w:t>
            </w:r>
            <w:r w:rsidRPr="006946E2">
              <w:rPr>
                <w:rFonts w:ascii="Arial" w:hAnsi="Arial" w:cs="Arial"/>
                <w:b/>
                <w:color w:val="auto"/>
                <w:sz w:val="20"/>
                <w:szCs w:val="20"/>
              </w:rPr>
              <w:t>ỤC TRƯỞNG</w:t>
            </w:r>
          </w:p>
          <w:p w:rsidR="00A44EB5" w:rsidRDefault="00A44EB5" w:rsidP="00A96DE0">
            <w:pPr>
              <w:pStyle w:val="Vnbnnidung0"/>
              <w:tabs>
                <w:tab w:val="left" w:pos="4030"/>
                <w:tab w:val="left" w:leader="dot" w:pos="4198"/>
              </w:tabs>
              <w:ind w:left="360" w:firstLine="0"/>
              <w:jc w:val="center"/>
              <w:rPr>
                <w:rFonts w:ascii="Arial" w:hAnsi="Arial" w:cs="Arial"/>
                <w:b/>
                <w:i/>
                <w:color w:val="auto"/>
                <w:sz w:val="20"/>
                <w:szCs w:val="20"/>
              </w:rPr>
            </w:pPr>
            <w:r w:rsidRPr="006946E2">
              <w:rPr>
                <w:rFonts w:ascii="Arial" w:hAnsi="Arial" w:cs="Arial"/>
                <w:b/>
                <w:color w:val="auto"/>
                <w:sz w:val="20"/>
                <w:szCs w:val="20"/>
                <w:lang w:val="en-US"/>
              </w:rPr>
              <w:t>PHÓ C</w:t>
            </w:r>
            <w:r w:rsidRPr="006946E2">
              <w:rPr>
                <w:rFonts w:ascii="Arial" w:hAnsi="Arial" w:cs="Arial"/>
                <w:b/>
                <w:color w:val="auto"/>
                <w:sz w:val="20"/>
                <w:szCs w:val="20"/>
              </w:rPr>
              <w:t>ỤC TRƯỞNG</w:t>
            </w:r>
          </w:p>
          <w:p w:rsidR="00A44EB5" w:rsidRDefault="00A44EB5" w:rsidP="00A96DE0">
            <w:pPr>
              <w:pStyle w:val="Vnbnnidung0"/>
              <w:tabs>
                <w:tab w:val="left" w:pos="4030"/>
                <w:tab w:val="left" w:leader="dot" w:pos="4198"/>
              </w:tabs>
              <w:ind w:left="360" w:firstLine="0"/>
              <w:jc w:val="center"/>
              <w:rPr>
                <w:rFonts w:ascii="Arial" w:hAnsi="Arial" w:cs="Arial"/>
                <w:b/>
                <w:i/>
                <w:color w:val="auto"/>
                <w:sz w:val="20"/>
                <w:szCs w:val="20"/>
              </w:rPr>
            </w:pPr>
          </w:p>
          <w:p w:rsidR="00A44EB5" w:rsidRPr="006946E2" w:rsidRDefault="00A44EB5" w:rsidP="00A96DE0">
            <w:pPr>
              <w:pStyle w:val="Vnbnnidung0"/>
              <w:tabs>
                <w:tab w:val="left" w:pos="4030"/>
                <w:tab w:val="left" w:leader="dot" w:pos="4198"/>
              </w:tabs>
              <w:ind w:left="360" w:firstLine="0"/>
              <w:jc w:val="center"/>
              <w:rPr>
                <w:rFonts w:ascii="Arial" w:hAnsi="Arial" w:cs="Arial"/>
                <w:b/>
                <w:i/>
                <w:color w:val="auto"/>
                <w:sz w:val="20"/>
                <w:szCs w:val="20"/>
              </w:rPr>
            </w:pPr>
          </w:p>
          <w:p w:rsidR="00A44EB5" w:rsidRPr="007B2BAA" w:rsidRDefault="00A44EB5" w:rsidP="00A96DE0">
            <w:pPr>
              <w:pStyle w:val="Vnbnnidung0"/>
              <w:tabs>
                <w:tab w:val="left" w:pos="4030"/>
                <w:tab w:val="left" w:leader="dot" w:pos="4198"/>
              </w:tabs>
              <w:ind w:left="360" w:firstLine="0"/>
              <w:jc w:val="center"/>
              <w:rPr>
                <w:rFonts w:ascii="Arial" w:hAnsi="Arial" w:cs="Arial"/>
                <w:b/>
                <w:color w:val="auto"/>
                <w:sz w:val="20"/>
                <w:szCs w:val="20"/>
              </w:rPr>
            </w:pPr>
            <w:r>
              <w:rPr>
                <w:rFonts w:ascii="Arial" w:hAnsi="Arial" w:cs="Arial"/>
                <w:b/>
                <w:sz w:val="20"/>
                <w:szCs w:val="20"/>
              </w:rPr>
              <w:t>Huỳnh Minh Giám</w:t>
            </w:r>
          </w:p>
        </w:tc>
      </w:tr>
    </w:tbl>
    <w:p w:rsidR="00DF4BD8" w:rsidRPr="00A44EB5" w:rsidRDefault="00DF4BD8" w:rsidP="00A44EB5">
      <w:pPr>
        <w:pStyle w:val="Vnbnnidung20"/>
        <w:rPr>
          <w:rFonts w:ascii="Arial" w:hAnsi="Arial" w:cs="Arial"/>
          <w:sz w:val="20"/>
          <w:szCs w:val="20"/>
        </w:rPr>
      </w:pPr>
    </w:p>
    <w:sectPr w:rsidR="00DF4BD8" w:rsidRPr="00A44EB5">
      <w:headerReference w:type="even" r:id="rId7"/>
      <w:headerReference w:type="default" r:id="rId8"/>
      <w:pgSz w:w="11900" w:h="16840"/>
      <w:pgMar w:top="1107" w:right="1090" w:bottom="1184" w:left="1652" w:header="0" w:footer="3"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6461" w:rsidRDefault="00A86461">
      <w:r>
        <w:separator/>
      </w:r>
    </w:p>
  </w:endnote>
  <w:endnote w:type="continuationSeparator" w:id="0">
    <w:p w:rsidR="00A86461" w:rsidRDefault="00A8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6461" w:rsidRDefault="00A86461"/>
  </w:footnote>
  <w:footnote w:type="continuationSeparator" w:id="0">
    <w:p w:rsidR="00A86461" w:rsidRDefault="00A86461"/>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BD8" w:rsidRDefault="00A86461">
    <w:pPr>
      <w:spacing w:line="1" w:lineRule="exact"/>
    </w:pPr>
    <w:r>
      <w:rPr>
        <w:noProof/>
        <w:lang w:val="en-US" w:eastAsia="en-US" w:bidi="ar-SA"/>
      </w:rPr>
      <mc:AlternateContent>
        <mc:Choice Requires="wps">
          <w:drawing>
            <wp:anchor distT="0" distB="0" distL="0" distR="0" simplePos="0" relativeHeight="62914690" behindDoc="1" locked="0" layoutInCell="1" allowOverlap="1">
              <wp:simplePos x="0" y="0"/>
              <wp:positionH relativeFrom="page">
                <wp:posOffset>3918585</wp:posOffset>
              </wp:positionH>
              <wp:positionV relativeFrom="page">
                <wp:posOffset>504825</wp:posOffset>
              </wp:positionV>
              <wp:extent cx="73025" cy="109855"/>
              <wp:effectExtent l="0" t="0" r="0" b="0"/>
              <wp:wrapNone/>
              <wp:docPr id="7" name="Shape 7"/>
              <wp:cNvGraphicFramePr/>
              <a:graphic xmlns:a="http://schemas.openxmlformats.org/drawingml/2006/main">
                <a:graphicData uri="http://schemas.microsoft.com/office/word/2010/wordprocessingShape">
                  <wps:wsp>
                    <wps:cNvSpPr txBox="1"/>
                    <wps:spPr>
                      <a:xfrm>
                        <a:off x="0" y="0"/>
                        <a:ext cx="73025" cy="109855"/>
                      </a:xfrm>
                      <a:prstGeom prst="rect">
                        <a:avLst/>
                      </a:prstGeom>
                      <a:noFill/>
                    </wps:spPr>
                    <wps:txbx>
                      <w:txbxContent>
                        <w:p w:rsidR="00DF4BD8" w:rsidRDefault="00A86461">
                          <w:pPr>
                            <w:pStyle w:val="utranghocchntrang20"/>
                            <w:rPr>
                              <w:sz w:val="26"/>
                              <w:szCs w:val="26"/>
                            </w:rPr>
                          </w:pPr>
                          <w:r>
                            <w:rPr>
                              <w:sz w:val="26"/>
                              <w:szCs w:val="26"/>
                            </w:rPr>
                            <w:t>2</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7" o:spid="_x0000_s1026" type="#_x0000_t202" style="position:absolute;margin-left:308.55pt;margin-top:39.75pt;width:5.75pt;height:8.65pt;z-index:-44040179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" filled="f" stroked="f">
              <v:textbox style="mso-fit-shape-to-text:t" inset="0,0,0,0">
                <w:txbxContent>
                  <w:p w:rsidR="00DF4BD8" w:rsidRDefault="00A86461">
                    <w:pPr>
                      <w:pStyle w:val="utranghocchntrang20"/>
                      <w:rPr>
                        <w:sz w:val="26"/>
                        <w:szCs w:val="26"/>
                      </w:rPr>
                    </w:pPr>
                    <w:r>
                      <w:rPr>
                        <w:sz w:val="26"/>
                        <w:szCs w:val="26"/>
                      </w:rPr>
                      <w:t>2</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BD8" w:rsidRDefault="00DF4BD8">
    <w:pPr>
      <w:spacing w:line="1" w:lineRule="exac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9A0C2E"/>
    <w:multiLevelType w:val="multilevel"/>
    <w:tmpl w:val="FCCA75E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grammar="clean"/>
  <w:defaultTabStop w:val="720"/>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BD8"/>
    <w:rsid w:val="00A44EB5"/>
    <w:rsid w:val="00A86461"/>
    <w:rsid w:val="00DF4B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9CD08"/>
  <w15:docId w15:val="{25884F10-A908-4502-9B89-2206FAD20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hthchnh">
    <w:name w:val="Chú thích ảnh_"/>
    <w:basedOn w:val="DefaultParagraphFont"/>
    <w:link w:val="Chthchnh0"/>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8"/>
      <w:szCs w:val="28"/>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Chthchnh0">
    <w:name w:val="Chú thích ảnh"/>
    <w:basedOn w:val="Normal"/>
    <w:link w:val="Chthchnh"/>
    <w:pPr>
      <w:jc w:val="center"/>
    </w:pPr>
    <w:rPr>
      <w:rFonts w:ascii="Times New Roman" w:eastAsia="Times New Roman" w:hAnsi="Times New Roman" w:cs="Times New Roman"/>
      <w:b/>
      <w:bCs/>
      <w:sz w:val="28"/>
      <w:szCs w:val="28"/>
    </w:rPr>
  </w:style>
  <w:style w:type="paragraph" w:customStyle="1" w:styleId="Vnbnnidung0">
    <w:name w:val="Văn bản nội dung"/>
    <w:basedOn w:val="Normal"/>
    <w:link w:val="Vnbnnidung"/>
    <w:pPr>
      <w:spacing w:after="80"/>
      <w:ind w:firstLine="400"/>
    </w:pPr>
    <w:rPr>
      <w:rFonts w:ascii="Times New Roman" w:eastAsia="Times New Roman" w:hAnsi="Times New Roman" w:cs="Times New Roman"/>
      <w:sz w:val="28"/>
      <w:szCs w:val="28"/>
    </w:rPr>
  </w:style>
  <w:style w:type="paragraph" w:customStyle="1" w:styleId="Vnbnnidung20">
    <w:name w:val="Văn bản nội dung (2)"/>
    <w:basedOn w:val="Normal"/>
    <w:link w:val="Vnbnnidung2"/>
    <w:rPr>
      <w:rFonts w:ascii="Times New Roman" w:eastAsia="Times New Roman" w:hAnsi="Times New Roman" w:cs="Times New Roman"/>
      <w:sz w:val="22"/>
      <w:szCs w:val="22"/>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table" w:styleId="TableGrid">
    <w:name w:val="Table Grid"/>
    <w:basedOn w:val="TableNormal"/>
    <w:uiPriority w:val="39"/>
    <w:rsid w:val="00A44E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578</Words>
  <Characters>3295</Characters>
  <Application>Microsoft Office Word</Application>
  <DocSecurity>0</DocSecurity>
  <Lines>27</Lines>
  <Paragraphs>7</Paragraphs>
  <ScaleCrop>false</ScaleCrop>
  <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CỤC THUẾ TỈNH BẾN TRE                 CỘNG HOÀ XÃ HỘI CHỦ NGHĨA VIỆT NAM</dc:title>
  <dc:subject/>
  <dc:creator>Thietbi2007</dc:creator>
  <cp:keywords/>
  <cp:lastModifiedBy>Admin</cp:lastModifiedBy>
  <cp:revision>2</cp:revision>
  <dcterms:created xsi:type="dcterms:W3CDTF">2025-03-18T10:18:00Z</dcterms:created>
  <dcterms:modified xsi:type="dcterms:W3CDTF">2025-03-18T10:21:00Z</dcterms:modified>
</cp:coreProperties>
</file>